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note"/>
      </w:pPr>
      <w:r>
        <w:rPr>
          <w:color w:val="008746"/>
        </w:rPr>
        <w:t>KUULU  /  MUOKATTAVA MALLIPOHJA</w:t>
      </w:r>
    </w:p>
    <w:p>
      <w:pPr>
        <w:pStyle w:val="Title"/>
      </w:pPr>
      <w:r>
        <w:t>Tekoälyn käytön pelisäännöt</w:t>
      </w:r>
    </w:p>
    <w:p>
      <w:r>
        <w:t>Organisaation sisäinen tekoälypolicy – täydennä hakasulkeissa olevat kohdat, arvioi soveltuvuus ja hyväksytä linjaukset ennen käyttöönottoa.</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2880"/>
            <w:vAlign w:val="center"/>
            <w:shd w:fill="DDEFE5"/>
          </w:tcPr>
          <w:p>
            <w:r/>
            <w:r>
              <w:rPr>
                <w:b/>
                <w:sz w:val="17"/>
              </w:rPr>
              <w:t>Asiakirjan tiedot</w:t>
            </w:r>
          </w:p>
        </w:tc>
        <w:tc>
          <w:tcPr>
            <w:tcW w:type="dxa" w:w="6552"/>
            <w:vAlign w:val="center"/>
            <w:shd w:fill="DDEFE5"/>
          </w:tcPr>
          <w:p>
            <w:r/>
            <w:r>
              <w:rPr>
                <w:b/>
                <w:sz w:val="17"/>
              </w:rPr>
              <w:t>Täydennettävä kenttä</w:t>
            </w:r>
          </w:p>
        </w:tc>
      </w:tr>
      <w:tr>
        <w:tc>
          <w:tcPr>
            <w:tcW w:type="dxa" w:w="2880"/>
            <w:vAlign w:val="center"/>
          </w:tcPr>
          <w:p>
            <w:r/>
            <w:r>
              <w:rPr>
                <w:b w:val="0"/>
                <w:sz w:val="17"/>
              </w:rPr>
              <w:t>Organisaatio</w:t>
            </w:r>
          </w:p>
        </w:tc>
        <w:tc>
          <w:tcPr>
            <w:tcW w:type="dxa" w:w="6552"/>
            <w:vAlign w:val="center"/>
          </w:tcPr>
          <w:p>
            <w:r/>
            <w:r>
              <w:rPr>
                <w:b w:val="0"/>
                <w:sz w:val="17"/>
              </w:rPr>
              <w:t>[organisaation nimi]</w:t>
            </w:r>
          </w:p>
        </w:tc>
      </w:tr>
      <w:tr>
        <w:tc>
          <w:tcPr>
            <w:tcW w:type="dxa" w:w="2880"/>
            <w:vAlign w:val="center"/>
            <w:shd w:fill="F4F7F5"/>
          </w:tcPr>
          <w:p>
            <w:r/>
            <w:r>
              <w:rPr>
                <w:b w:val="0"/>
                <w:sz w:val="17"/>
              </w:rPr>
              <w:t>Hyväksyjä ja hyväksymispäivä</w:t>
            </w:r>
          </w:p>
        </w:tc>
        <w:tc>
          <w:tcPr>
            <w:tcW w:type="dxa" w:w="6552"/>
            <w:vAlign w:val="center"/>
            <w:shd w:fill="F4F7F5"/>
          </w:tcPr>
          <w:p>
            <w:r/>
            <w:r>
              <w:rPr>
                <w:b w:val="0"/>
                <w:sz w:val="17"/>
              </w:rPr>
              <w:t>[johtoryhmä / toimitusjohtaja / toimielin], [pp.kk.vvvv]</w:t>
            </w:r>
          </w:p>
        </w:tc>
      </w:tr>
      <w:tr>
        <w:tc>
          <w:tcPr>
            <w:tcW w:type="dxa" w:w="2880"/>
            <w:vAlign w:val="center"/>
          </w:tcPr>
          <w:p>
            <w:r/>
            <w:r>
              <w:rPr>
                <w:b w:val="0"/>
                <w:sz w:val="17"/>
              </w:rPr>
              <w:t>Omistaja ja yhteyshenkilö</w:t>
            </w:r>
          </w:p>
        </w:tc>
        <w:tc>
          <w:tcPr>
            <w:tcW w:type="dxa" w:w="6552"/>
            <w:vAlign w:val="center"/>
          </w:tcPr>
          <w:p>
            <w:r/>
            <w:r>
              <w:rPr>
                <w:b w:val="0"/>
                <w:sz w:val="17"/>
              </w:rPr>
              <w:t>[nimi / rooli / yhteystiedot]</w:t>
            </w:r>
          </w:p>
        </w:tc>
      </w:tr>
      <w:tr>
        <w:tc>
          <w:tcPr>
            <w:tcW w:type="dxa" w:w="2880"/>
            <w:vAlign w:val="center"/>
            <w:shd w:fill="F4F7F5"/>
          </w:tcPr>
          <w:p>
            <w:r/>
            <w:r>
              <w:rPr>
                <w:b w:val="0"/>
                <w:sz w:val="17"/>
              </w:rPr>
              <w:t>Voimassaolo ja tarkistus</w:t>
            </w:r>
          </w:p>
        </w:tc>
        <w:tc>
          <w:tcPr>
            <w:tcW w:type="dxa" w:w="6552"/>
            <w:vAlign w:val="center"/>
            <w:shd w:fill="F4F7F5"/>
          </w:tcPr>
          <w:p>
            <w:r/>
            <w:r>
              <w:rPr>
                <w:b w:val="0"/>
                <w:sz w:val="17"/>
              </w:rPr>
              <w:t>[alkaen] / [esim. 6 kk välein sekä olennaisissa muutoksissa]</w:t>
            </w:r>
          </w:p>
        </w:tc>
      </w:tr>
      <w:tr>
        <w:tc>
          <w:tcPr>
            <w:tcW w:type="dxa" w:w="2880"/>
            <w:vAlign w:val="center"/>
          </w:tcPr>
          <w:p>
            <w:r/>
            <w:r>
              <w:rPr>
                <w:b w:val="0"/>
                <w:sz w:val="17"/>
              </w:rPr>
              <w:t>Versio</w:t>
            </w:r>
          </w:p>
        </w:tc>
        <w:tc>
          <w:tcPr>
            <w:tcW w:type="dxa" w:w="6552"/>
            <w:vAlign w:val="center"/>
          </w:tcPr>
          <w:p>
            <w:r/>
            <w:r>
              <w:rPr>
                <w:b w:val="0"/>
                <w:sz w:val="17"/>
              </w:rPr>
              <w:t>[1.0]</w:t>
            </w:r>
          </w:p>
        </w:tc>
      </w:tr>
    </w:tbl>
    <w:p>
      <w:pPr>
        <w:spacing w:after="0"/>
      </w:pPr>
    </w:p>
    <w:p>
      <w:pPr>
        <w:pStyle w:val="Smallnote"/>
      </w:pPr>
      <w:r>
        <w:t>Tämä on yleinen työkalupohja, ei oikeudellinen lausunto eikä osoitus lakisääteisten velvoitteiden täyttymisestä. Organisaation on arvioitava tietosuoja, tietoturva, sopimukset, toimialavaatimukset sekä käyttötapauksen mahdollinen luokittelu EU:n tekoälyasetuksessa.</w:t>
      </w:r>
    </w:p>
    <w:p>
      <w:pPr>
        <w:pStyle w:val="Heading1"/>
      </w:pPr>
      <w:r>
        <w:t>1. Miksi meillä on yhteiset pelisäännöt?</w:t>
      </w:r>
    </w:p>
    <w:p>
      <w:r>
        <w:t>Haluamme hyödyntää tekoälyä tarkoituksenmukaisesti: parantaa työn laatua, säästää aikaa ja kehittää palveluja. Jokainen työntekijä tarvitsee selkeän vastauksen siihen, mitä työkaluja saa käyttää, millaista tietoa niihin saa syöttää ja kuka vastaa lopputuloksesta.</w:t>
      </w:r>
    </w:p>
    <w:p>
      <w:r>
        <w:t>Ohjetta sovelletaan [henkilöstö / harjoittelijat / alihankkijat / muu rajaus] silloin, kun he käyttävät tekoälyä organisaation työtehtäviin. Tarkemmat tietoturva-, tietosuoja-, hankinta- ja viestintäohjeet ovat tämän ohjeen rinnalla voimassa.</w:t>
      </w:r>
    </w:p>
    <w:p>
      <w:pPr>
        <w:pStyle w:val="Heading1"/>
      </w:pPr>
      <w:r>
        <w:t>2. Viisi nopeaa sääntöä jokaiselle käyttäjälle</w:t>
      </w:r>
    </w:p>
    <w:p>
      <w:pPr>
        <w:pStyle w:val="ListBullet"/>
      </w:pPr>
      <w:r>
        <w:t>Käytä työtehtävissä vain organisaation hyväksymiä tekoälypalveluja ja työtilejä.</w:t>
      </w:r>
    </w:p>
    <w:p>
      <w:pPr>
        <w:pStyle w:val="ListBullet"/>
      </w:pPr>
      <w:r>
        <w:t>Älä syötä henkilötietoja, asiakastietoja, liikesalaisuuksia tai muuta suojattua tietoa ilman nimenomaista hyväksyttyä käsittelytapaa.</w:t>
      </w:r>
    </w:p>
    <w:p>
      <w:pPr>
        <w:pStyle w:val="ListBullet"/>
      </w:pPr>
      <w:r>
        <w:t>Tarkista väitteet, laskelmat, lähteet ja lainaukset ennen kuin käytät tai julkaiset tuotoksen.</w:t>
      </w:r>
    </w:p>
    <w:p>
      <w:pPr>
        <w:pStyle w:val="ListBullet"/>
      </w:pPr>
      <w:r>
        <w:t>Vastuu päätöksistä ja julkaistuista sisällöistä säilyy ihmisellä. Käytä sovittua hyväksyntämenettelyä.</w:t>
      </w:r>
    </w:p>
    <w:p>
      <w:pPr>
        <w:pStyle w:val="ListBullet"/>
      </w:pPr>
      <w:r>
        <w:t>Jos tietoja päätyi väärään palveluun, tulos oli syrjivä tai työkalu toimi odottamattomasti, ilmoita heti [kanava / yhteyshenkilö].</w:t>
      </w:r>
    </w:p>
    <w:p>
      <w:pPr>
        <w:pStyle w:val="Heading1"/>
      </w:pPr>
      <w:r>
        <w:t>3. Tekoälyn käytön tavoitteet ja vastuut</w:t>
      </w:r>
    </w:p>
    <w:p>
      <w:r>
        <w:t>Johdon hyväksymät tavoitteet seuraavalle [6–12] kuukaudelle: [1–3 konkreettista tavoitetta ja niiden mittarit]. Tavoitteita voivat olla esimerkiksi yhden toistuvan prosessin lyhentäminen, sisäisen tiedonhaun parantaminen tai henkilöstön tietoturvallisen käytön varmistaminen.</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2664"/>
            <w:vAlign w:val="center"/>
            <w:shd w:fill="DDEFE5"/>
          </w:tcPr>
          <w:p>
            <w:r/>
            <w:r>
              <w:rPr>
                <w:b/>
                <w:sz w:val="17"/>
              </w:rPr>
              <w:t>Rooli</w:t>
            </w:r>
          </w:p>
        </w:tc>
        <w:tc>
          <w:tcPr>
            <w:tcW w:type="dxa" w:w="6768"/>
            <w:vAlign w:val="center"/>
            <w:shd w:fill="DDEFE5"/>
          </w:tcPr>
          <w:p>
            <w:r/>
            <w:r>
              <w:rPr>
                <w:b/>
                <w:sz w:val="17"/>
              </w:rPr>
              <w:t>Vastuu</w:t>
            </w:r>
          </w:p>
        </w:tc>
      </w:tr>
      <w:tr>
        <w:tc>
          <w:tcPr>
            <w:tcW w:type="dxa" w:w="2664"/>
            <w:vAlign w:val="center"/>
          </w:tcPr>
          <w:p>
            <w:r/>
            <w:r>
              <w:rPr>
                <w:b w:val="0"/>
                <w:sz w:val="17"/>
              </w:rPr>
              <w:t>Johto / toimielin</w:t>
            </w:r>
          </w:p>
        </w:tc>
        <w:tc>
          <w:tcPr>
            <w:tcW w:type="dxa" w:w="6768"/>
            <w:vAlign w:val="center"/>
          </w:tcPr>
          <w:p>
            <w:r/>
            <w:r>
              <w:rPr>
                <w:b w:val="0"/>
                <w:sz w:val="17"/>
              </w:rPr>
              <w:t>Hyväksyy tavoitteet, riskinottohalun, resurssit ja keskeiset linjaukset; seuraa tuloksia.</w:t>
            </w:r>
          </w:p>
        </w:tc>
      </w:tr>
      <w:tr>
        <w:tc>
          <w:tcPr>
            <w:tcW w:type="dxa" w:w="2664"/>
            <w:vAlign w:val="center"/>
            <w:shd w:fill="F4F7F5"/>
          </w:tcPr>
          <w:p>
            <w:r/>
            <w:r>
              <w:rPr>
                <w:b w:val="0"/>
                <w:sz w:val="17"/>
              </w:rPr>
              <w:t>AI-koordinaattori [nimi]</w:t>
            </w:r>
          </w:p>
        </w:tc>
        <w:tc>
          <w:tcPr>
            <w:tcW w:type="dxa" w:w="6768"/>
            <w:vAlign w:val="center"/>
            <w:shd w:fill="F4F7F5"/>
          </w:tcPr>
          <w:p>
            <w:r/>
            <w:r>
              <w:rPr>
                <w:b w:val="0"/>
                <w:sz w:val="17"/>
              </w:rPr>
              <w:t>Ylläpitää hyväksyttyjen työkalujen luetteloa ja ohjetta; kokoaa tarpeet, kokeilut ja poikkeamat; esittelee muutostarpeet johdolle.</w:t>
            </w:r>
          </w:p>
        </w:tc>
      </w:tr>
      <w:tr>
        <w:tc>
          <w:tcPr>
            <w:tcW w:type="dxa" w:w="2664"/>
            <w:vAlign w:val="center"/>
          </w:tcPr>
          <w:p>
            <w:r/>
            <w:r>
              <w:rPr>
                <w:b w:val="0"/>
                <w:sz w:val="17"/>
              </w:rPr>
              <w:t>IT / tietoturva</w:t>
            </w:r>
          </w:p>
        </w:tc>
        <w:tc>
          <w:tcPr>
            <w:tcW w:type="dxa" w:w="6768"/>
            <w:vAlign w:val="center"/>
          </w:tcPr>
          <w:p>
            <w:r/>
            <w:r>
              <w:rPr>
                <w:b w:val="0"/>
                <w:sz w:val="17"/>
              </w:rPr>
              <w:t>Arvioi tekniset asetukset, käyttöoikeudet, integraatiot, toimittajat ja tietoturvariskit.</w:t>
            </w:r>
          </w:p>
        </w:tc>
      </w:tr>
      <w:tr>
        <w:tc>
          <w:tcPr>
            <w:tcW w:type="dxa" w:w="2664"/>
            <w:vAlign w:val="center"/>
            <w:shd w:fill="F4F7F5"/>
          </w:tcPr>
          <w:p>
            <w:r/>
            <w:r>
              <w:rPr>
                <w:b w:val="0"/>
                <w:sz w:val="17"/>
              </w:rPr>
              <w:t>Tietosuojavastaava / juridiikka</w:t>
            </w:r>
          </w:p>
        </w:tc>
        <w:tc>
          <w:tcPr>
            <w:tcW w:type="dxa" w:w="6768"/>
            <w:vAlign w:val="center"/>
            <w:shd w:fill="F4F7F5"/>
          </w:tcPr>
          <w:p>
            <w:r/>
            <w:r>
              <w:rPr>
                <w:b w:val="0"/>
                <w:sz w:val="17"/>
              </w:rPr>
              <w:t>Arvioi henkilötietojen käsittelyn, vaikutustenarvioinnit, sopimukset ja oikeudelliset erityiskysymykset roolinsa mukaisesti.</w:t>
            </w:r>
          </w:p>
        </w:tc>
      </w:tr>
      <w:tr>
        <w:tc>
          <w:tcPr>
            <w:tcW w:type="dxa" w:w="2664"/>
            <w:vAlign w:val="center"/>
          </w:tcPr>
          <w:p>
            <w:r/>
            <w:r>
              <w:rPr>
                <w:b w:val="0"/>
                <w:sz w:val="17"/>
              </w:rPr>
              <w:t>HR / esihenkilöt</w:t>
            </w:r>
          </w:p>
        </w:tc>
        <w:tc>
          <w:tcPr>
            <w:tcW w:type="dxa" w:w="6768"/>
            <w:vAlign w:val="center"/>
          </w:tcPr>
          <w:p>
            <w:r/>
            <w:r>
              <w:rPr>
                <w:b w:val="0"/>
                <w:sz w:val="17"/>
              </w:rPr>
              <w:t>Järjestää työtehtäviin suhteutetun perehdytyksen, koulutuksen ja työaikaa harjoitteluun.</w:t>
            </w:r>
          </w:p>
        </w:tc>
      </w:tr>
      <w:tr>
        <w:tc>
          <w:tcPr>
            <w:tcW w:type="dxa" w:w="2664"/>
            <w:vAlign w:val="center"/>
            <w:shd w:fill="F4F7F5"/>
          </w:tcPr>
          <w:p>
            <w:r/>
            <w:r>
              <w:rPr>
                <w:b w:val="0"/>
                <w:sz w:val="17"/>
              </w:rPr>
              <w:t>Työprosessin omistaja</w:t>
            </w:r>
          </w:p>
        </w:tc>
        <w:tc>
          <w:tcPr>
            <w:tcW w:type="dxa" w:w="6768"/>
            <w:vAlign w:val="center"/>
            <w:shd w:fill="F4F7F5"/>
          </w:tcPr>
          <w:p>
            <w:r/>
            <w:r>
              <w:rPr>
                <w:b w:val="0"/>
                <w:sz w:val="17"/>
              </w:rPr>
              <w:t>Päättää käyttötapauksen tarkoituksesta, hyväksyy työnkulun ja valvoo laatua.</w:t>
            </w:r>
          </w:p>
        </w:tc>
      </w:tr>
      <w:tr>
        <w:tc>
          <w:tcPr>
            <w:tcW w:type="dxa" w:w="2664"/>
            <w:vAlign w:val="center"/>
          </w:tcPr>
          <w:p>
            <w:r/>
            <w:r>
              <w:rPr>
                <w:b w:val="0"/>
                <w:sz w:val="17"/>
              </w:rPr>
              <w:t>Jokainen käyttäjä</w:t>
            </w:r>
          </w:p>
        </w:tc>
        <w:tc>
          <w:tcPr>
            <w:tcW w:type="dxa" w:w="6768"/>
            <w:vAlign w:val="center"/>
          </w:tcPr>
          <w:p>
            <w:r/>
            <w:r>
              <w:rPr>
                <w:b w:val="0"/>
                <w:sz w:val="17"/>
              </w:rPr>
              <w:t>Noudattaa ohjetta, tarkistaa tuotokset ja ilmoittaa epäselvyyksistä.</w:t>
            </w:r>
          </w:p>
        </w:tc>
      </w:tr>
    </w:tbl>
    <w:p>
      <w:pPr>
        <w:spacing w:after="0"/>
      </w:pPr>
    </w:p>
    <w:p>
      <w:pPr>
        <w:pStyle w:val="Heading1"/>
      </w:pPr>
      <w:r>
        <w:t>4. Hyväksytyt työkalut ja käyttökohteet</w:t>
      </w:r>
    </w:p>
    <w:p>
      <w:r>
        <w:t>Hyväksyttyjen palvelujen luettelo ylläpidetään osoitteessa [intranet / dokumentti]. Se sisältää työkalun nimen, hyväksytyn tilimuodon, sallitut käyttötarkoitukset, tietoluokat, omistajan ja käyttöehdot. Uutta työkalua ei oteta tuotantokäyttöön ennen sovittua arviointia.</w:t>
      </w: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2880"/>
            <w:vAlign w:val="center"/>
            <w:shd w:fill="DDEFE5"/>
          </w:tcPr>
          <w:p>
            <w:r/>
            <w:r>
              <w:rPr>
                <w:b/>
                <w:sz w:val="17"/>
              </w:rPr>
              <w:t>Työkalu / tili</w:t>
            </w:r>
          </w:p>
        </w:tc>
        <w:tc>
          <w:tcPr>
            <w:tcW w:type="dxa" w:w="3096"/>
            <w:vAlign w:val="center"/>
            <w:shd w:fill="DDEFE5"/>
          </w:tcPr>
          <w:p>
            <w:r/>
            <w:r>
              <w:rPr>
                <w:b/>
                <w:sz w:val="17"/>
              </w:rPr>
              <w:t>Sallitut tehtävät</w:t>
            </w:r>
          </w:p>
        </w:tc>
        <w:tc>
          <w:tcPr>
            <w:tcW w:type="dxa" w:w="3672"/>
            <w:vAlign w:val="center"/>
            <w:shd w:fill="DDEFE5"/>
          </w:tcPr>
          <w:p>
            <w:r/>
            <w:r>
              <w:rPr>
                <w:b/>
                <w:sz w:val="17"/>
              </w:rPr>
              <w:t>Tietorajaus / omistaja</w:t>
            </w:r>
          </w:p>
        </w:tc>
      </w:tr>
      <w:tr>
        <w:tc>
          <w:tcPr>
            <w:tcW w:type="dxa" w:w="2880"/>
            <w:vAlign w:val="center"/>
          </w:tcPr>
          <w:p>
            <w:r/>
            <w:r>
              <w:rPr>
                <w:b w:val="0"/>
                <w:sz w:val="17"/>
              </w:rPr>
              <w:t>[esim. palvelu A, Enterprise]</w:t>
            </w:r>
          </w:p>
        </w:tc>
        <w:tc>
          <w:tcPr>
            <w:tcW w:type="dxa" w:w="3096"/>
            <w:vAlign w:val="center"/>
          </w:tcPr>
          <w:p>
            <w:r/>
            <w:r>
              <w:rPr>
                <w:b w:val="0"/>
                <w:sz w:val="17"/>
              </w:rPr>
              <w:t>[ideointi, tekstiluonnokset, sisäiset tiivistelmät]</w:t>
            </w:r>
          </w:p>
        </w:tc>
        <w:tc>
          <w:tcPr>
            <w:tcW w:type="dxa" w:w="3672"/>
            <w:vAlign w:val="center"/>
          </w:tcPr>
          <w:p>
            <w:r/>
            <w:r>
              <w:rPr>
                <w:b w:val="0"/>
                <w:sz w:val="17"/>
              </w:rPr>
              <w:t>[julkinen / sisäinen, rajattu]</w:t>
            </w:r>
          </w:p>
        </w:tc>
      </w:tr>
      <w:tr>
        <w:tc>
          <w:tcPr>
            <w:tcW w:type="dxa" w:w="2880"/>
            <w:vAlign w:val="center"/>
            <w:shd w:fill="F4F7F5"/>
          </w:tcPr>
          <w:p>
            <w:r/>
            <w:r>
              <w:rPr>
                <w:b w:val="0"/>
                <w:sz w:val="17"/>
              </w:rPr>
              <w:t>[esim. palvelu B]</w:t>
            </w:r>
          </w:p>
        </w:tc>
        <w:tc>
          <w:tcPr>
            <w:tcW w:type="dxa" w:w="3096"/>
            <w:vAlign w:val="center"/>
            <w:shd w:fill="F4F7F5"/>
          </w:tcPr>
          <w:p>
            <w:r/>
            <w:r>
              <w:rPr>
                <w:b w:val="0"/>
                <w:sz w:val="17"/>
              </w:rPr>
              <w:t>[määriteltävä]</w:t>
            </w:r>
          </w:p>
        </w:tc>
        <w:tc>
          <w:tcPr>
            <w:tcW w:type="dxa" w:w="3672"/>
            <w:vAlign w:val="center"/>
            <w:shd w:fill="F4F7F5"/>
          </w:tcPr>
          <w:p>
            <w:r/>
            <w:r>
              <w:rPr>
                <w:b w:val="0"/>
                <w:sz w:val="17"/>
              </w:rPr>
              <w:t>[määriteltävä]</w:t>
            </w:r>
          </w:p>
        </w:tc>
      </w:tr>
    </w:tbl>
    <w:p>
      <w:pPr>
        <w:spacing w:after="0"/>
      </w:pPr>
    </w:p>
    <w:p>
      <w:pPr>
        <w:pStyle w:val="Heading1"/>
      </w:pPr>
      <w:r>
        <w:t>5. Mitä tietoja tekoälyyn saa syöttää?</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3096"/>
            <w:vAlign w:val="center"/>
            <w:shd w:fill="DDEFE5"/>
          </w:tcPr>
          <w:p>
            <w:r/>
            <w:r>
              <w:rPr>
                <w:b/>
                <w:sz w:val="17"/>
              </w:rPr>
              <w:t>Tietoluokka</w:t>
            </w:r>
          </w:p>
        </w:tc>
        <w:tc>
          <w:tcPr>
            <w:tcW w:type="dxa" w:w="6336"/>
            <w:vAlign w:val="center"/>
            <w:shd w:fill="DDEFE5"/>
          </w:tcPr>
          <w:p>
            <w:r/>
            <w:r>
              <w:rPr>
                <w:b/>
                <w:sz w:val="17"/>
              </w:rPr>
              <w:t>Lähtökohtainen linja</w:t>
            </w:r>
          </w:p>
        </w:tc>
      </w:tr>
      <w:tr>
        <w:tc>
          <w:tcPr>
            <w:tcW w:type="dxa" w:w="3096"/>
            <w:vAlign w:val="center"/>
          </w:tcPr>
          <w:p>
            <w:r/>
            <w:r>
              <w:rPr>
                <w:b w:val="0"/>
                <w:sz w:val="17"/>
              </w:rPr>
              <w:t>Julkinen</w:t>
            </w:r>
          </w:p>
        </w:tc>
        <w:tc>
          <w:tcPr>
            <w:tcW w:type="dxa" w:w="6336"/>
            <w:vAlign w:val="center"/>
          </w:tcPr>
          <w:p>
            <w:r/>
            <w:r>
              <w:rPr>
                <w:b w:val="0"/>
                <w:sz w:val="17"/>
              </w:rPr>
              <w:t>Sallittu hyväksytyssä työkalussa, jos aineiston oikeudet ja käyttötarkoitus sen sallivat.</w:t>
            </w:r>
          </w:p>
        </w:tc>
      </w:tr>
      <w:tr>
        <w:tc>
          <w:tcPr>
            <w:tcW w:type="dxa" w:w="3096"/>
            <w:vAlign w:val="center"/>
            <w:shd w:fill="F4F7F5"/>
          </w:tcPr>
          <w:p>
            <w:r/>
            <w:r>
              <w:rPr>
                <w:b w:val="0"/>
                <w:sz w:val="17"/>
              </w:rPr>
              <w:t>Sisäinen</w:t>
            </w:r>
          </w:p>
        </w:tc>
        <w:tc>
          <w:tcPr>
            <w:tcW w:type="dxa" w:w="6336"/>
            <w:vAlign w:val="center"/>
            <w:shd w:fill="F4F7F5"/>
          </w:tcPr>
          <w:p>
            <w:r/>
            <w:r>
              <w:rPr>
                <w:b w:val="0"/>
                <w:sz w:val="17"/>
              </w:rPr>
              <w:t>Vain hyväksyttyyn organisaatiotiliin ja sovittuun käyttötapaan; arvioi aineiston arkaluonteisuus.</w:t>
            </w:r>
          </w:p>
        </w:tc>
      </w:tr>
      <w:tr>
        <w:tc>
          <w:tcPr>
            <w:tcW w:type="dxa" w:w="3096"/>
            <w:vAlign w:val="center"/>
          </w:tcPr>
          <w:p>
            <w:r/>
            <w:r>
              <w:rPr>
                <w:b w:val="0"/>
                <w:sz w:val="17"/>
              </w:rPr>
              <w:t>Luottamuksellinen / sopimuksin suojattu</w:t>
            </w:r>
          </w:p>
        </w:tc>
        <w:tc>
          <w:tcPr>
            <w:tcW w:type="dxa" w:w="6336"/>
            <w:vAlign w:val="center"/>
          </w:tcPr>
          <w:p>
            <w:r/>
            <w:r>
              <w:rPr>
                <w:b w:val="0"/>
                <w:sz w:val="17"/>
              </w:rPr>
              <w:t>Ei syötetä ilman tietoturva- ja tietosuojakäsittelyn arviointia ja erillistä lupaa.</w:t>
            </w:r>
          </w:p>
        </w:tc>
      </w:tr>
      <w:tr>
        <w:tc>
          <w:tcPr>
            <w:tcW w:type="dxa" w:w="3096"/>
            <w:vAlign w:val="center"/>
            <w:shd w:fill="F4F7F5"/>
          </w:tcPr>
          <w:p>
            <w:r/>
            <w:r>
              <w:rPr>
                <w:b w:val="0"/>
                <w:sz w:val="17"/>
              </w:rPr>
              <w:t>Henkilötiedot / erityiset henkilötietoryhmät</w:t>
            </w:r>
          </w:p>
        </w:tc>
        <w:tc>
          <w:tcPr>
            <w:tcW w:type="dxa" w:w="6336"/>
            <w:vAlign w:val="center"/>
            <w:shd w:fill="F4F7F5"/>
          </w:tcPr>
          <w:p>
            <w:r/>
            <w:r>
              <w:rPr>
                <w:b w:val="0"/>
                <w:sz w:val="17"/>
              </w:rPr>
              <w:t>Ei syötetä ilman määriteltyä käsittelyperustetta, tarpeellisuus- ja riskinarviota sekä hyväksyttyä palvelua.</w:t>
            </w:r>
          </w:p>
        </w:tc>
      </w:tr>
    </w:tbl>
    <w:p>
      <w:pPr>
        <w:spacing w:after="0"/>
      </w:pPr>
    </w:p>
    <w:p>
      <w:r>
        <w:t>Tiedon poistaminen nimistä ei välttämättä tee aineistosta anonyymiä. Myös yhdisteltävissä oleva tai harvinainen tieto voi yksilöidä henkilön. Noudata lisäksi salassapito-, arkistointi-, tiedonhallinta- ja julkisuusvaatimuksia, jos niitä sovelletaan organisaatioon.</w:t>
      </w:r>
    </w:p>
    <w:p>
      <w:pPr>
        <w:pStyle w:val="Heading1"/>
      </w:pPr>
      <w:r>
        <w:t>6. Sisällön tarkistus, viestintä ja avoimuus</w:t>
      </w:r>
    </w:p>
    <w:p>
      <w:pPr>
        <w:pStyle w:val="ListBullet"/>
      </w:pPr>
      <w:r>
        <w:t>Tekoälyn tekemiä faktoja, lakiviittauksia, lähteitä, kuvatekstejä ja lainauksia ei julkaista ilman ihmisen tarkistusta.</w:t>
      </w:r>
    </w:p>
    <w:p>
      <w:pPr>
        <w:pStyle w:val="ListBullet"/>
      </w:pPr>
      <w:r>
        <w:t>Sisällön julkaisija varmistaa, että tekijänoikeudet, käyttöluvat, henkilön kuva ja brändiohjeet on huomioitu.</w:t>
      </w:r>
    </w:p>
    <w:p>
      <w:pPr>
        <w:pStyle w:val="ListBullet"/>
      </w:pPr>
      <w:r>
        <w:t>Tekoälyn käytöstä kerrotaan, kun sovellettava lainsäädäntö tai organisaation avoimuuslinja sitä edellyttää. Erityisesti realistisesti harhaanjohtavat tekoälykuvat, -videot ja -äänet sekä tietyt yleistä etua koskevat tekstit arvioidaan EU:n tekoälyasetuksen 50 artiklan nojalla.</w:t>
      </w:r>
    </w:p>
    <w:p>
      <w:pPr>
        <w:pStyle w:val="ListBullet"/>
      </w:pPr>
      <w:r>
        <w:t>Viestinnässä käytetään [organisaation oma merkintäohje / linkki]. Merkinnän toimivuus tarkistetaan lopullisessa julkaisukanavassa.</w:t>
      </w:r>
    </w:p>
    <w:p>
      <w:pPr>
        <w:pStyle w:val="Smallnote"/>
      </w:pPr>
      <w:r>
        <w:t>Käytännön lisäohje: https://blog.kuulu.fi/tekoaly-sisallon-merkinta-eu-ai-act</w:t>
      </w:r>
    </w:p>
    <w:p>
      <w:pPr>
        <w:pStyle w:val="Heading1"/>
      </w:pPr>
      <w:r>
        <w:t>7. Automaatioiden, avustajien ja agenttien turvallinen käyttöönotto</w:t>
      </w:r>
    </w:p>
    <w:p>
      <w:r>
        <w:t>Kun tekoäly käsittelee sisäisiä tiedostoja, hakee tietoa eri järjestelmistä tai voi tehdä toimenpiteitä käyttäjän puolesta, käyttö vaatii erillisen arvioinnin. Työnkulun omistaja määrittää, mihin järjestelmiin ratkaisu pääsee, mitä se saa lukea tai muuttaa sekä missä vaiheessa ihminen hyväksyy toiminnon.</w:t>
      </w:r>
    </w:p>
    <w:p>
      <w:pPr>
        <w:pStyle w:val="ListBullet"/>
      </w:pPr>
      <w:r>
        <w:t>Testaa rajatulla aineistolla ja vähimmillä tarpeellisilla käyttöoikeuksilla.</w:t>
      </w:r>
    </w:p>
    <w:p>
      <w:pPr>
        <w:pStyle w:val="ListBullet"/>
      </w:pPr>
      <w:r>
        <w:t>Kirjaa tietolähteet, toimittajat, integraatiot sekä lokitus- ja valvontatapa.</w:t>
      </w:r>
    </w:p>
    <w:p>
      <w:pPr>
        <w:pStyle w:val="ListBullet"/>
      </w:pPr>
      <w:r>
        <w:t>Varmista, että automaatio voidaan tarvittaessa pysäyttää ja sen toimet selvittää.</w:t>
      </w:r>
    </w:p>
    <w:p>
      <w:pPr>
        <w:pStyle w:val="ListBullet"/>
      </w:pPr>
      <w:r>
        <w:t>Älä anna agentin lähettää ulkoisia viestejä, käsitellä maksuja, muuttaa henkilötietoja tai tehdä merkittäviä päätöksiä ilman erillistä hyväksyntää ja asianmukaisia suojauksia.</w:t>
      </w:r>
    </w:p>
    <w:p>
      <w:pPr>
        <w:pStyle w:val="ListBullet"/>
      </w:pPr>
      <w:r>
        <w:t>Arvioi erikseen tekoälyasetuksen korkean riskin käyttötarkoitukset, esimerkiksi eräät rekrytointi- ja henkilöstöarviointijärjestelmät.</w:t>
      </w:r>
    </w:p>
    <w:p>
      <w:pPr>
        <w:pStyle w:val="Heading1"/>
      </w:pPr>
      <w:r>
        <w:t>8. Käyttötapauksen riskiluokitus ja hyväksyntä</w:t>
      </w:r>
    </w:p>
    <w:tbl>
      <w:tblPr>
        <w:tblStyle w:val="TableGrid"/>
        <w:tblW w:type="auto" w:w="0"/>
        <w:jc w:val="center"/>
        <w:tblLook w:firstColumn="1" w:firstRow="1" w:lastColumn="0" w:lastRow="0" w:noHBand="0" w:noVBand="1" w:val="04A0"/>
      </w:tblPr>
      <w:tblGrid>
        <w:gridCol w:w="3293"/>
        <w:gridCol w:w="3293"/>
        <w:gridCol w:w="3293"/>
      </w:tblGrid>
      <w:tr>
        <w:trPr>
          <w:tblHeader w:val="true"/>
        </w:trPr>
        <w:tc>
          <w:tcPr>
            <w:tcW w:type="dxa" w:w="1440"/>
            <w:vAlign w:val="center"/>
            <w:shd w:fill="DDEFE5"/>
          </w:tcPr>
          <w:p>
            <w:r/>
            <w:r>
              <w:rPr>
                <w:b/>
                <w:sz w:val="17"/>
              </w:rPr>
              <w:t>Luokka</w:t>
            </w:r>
          </w:p>
        </w:tc>
        <w:tc>
          <w:tcPr>
            <w:tcW w:type="dxa" w:w="4968"/>
            <w:vAlign w:val="center"/>
            <w:shd w:fill="DDEFE5"/>
          </w:tcPr>
          <w:p>
            <w:r/>
            <w:r>
              <w:rPr>
                <w:b/>
                <w:sz w:val="17"/>
              </w:rPr>
              <w:t>Esimerkki</w:t>
            </w:r>
          </w:p>
        </w:tc>
        <w:tc>
          <w:tcPr>
            <w:tcW w:type="dxa" w:w="3024"/>
            <w:vAlign w:val="center"/>
            <w:shd w:fill="DDEFE5"/>
          </w:tcPr>
          <w:p>
            <w:r/>
            <w:r>
              <w:rPr>
                <w:b/>
                <w:sz w:val="17"/>
              </w:rPr>
              <w:t>Hyväksyntä</w:t>
            </w:r>
          </w:p>
        </w:tc>
      </w:tr>
      <w:tr>
        <w:tc>
          <w:tcPr>
            <w:tcW w:type="dxa" w:w="1440"/>
            <w:vAlign w:val="center"/>
          </w:tcPr>
          <w:p>
            <w:r/>
            <w:r>
              <w:rPr>
                <w:b w:val="0"/>
                <w:sz w:val="17"/>
              </w:rPr>
              <w:t>A – matala</w:t>
            </w:r>
          </w:p>
        </w:tc>
        <w:tc>
          <w:tcPr>
            <w:tcW w:type="dxa" w:w="4968"/>
            <w:vAlign w:val="center"/>
          </w:tcPr>
          <w:p>
            <w:r/>
            <w:r>
              <w:rPr>
                <w:b w:val="0"/>
                <w:sz w:val="17"/>
              </w:rPr>
              <w:t>Julkisten tietojen tiivistäminen, otsikkoideat, avoimien verkkosivujen analyysi</w:t>
            </w:r>
          </w:p>
        </w:tc>
        <w:tc>
          <w:tcPr>
            <w:tcW w:type="dxa" w:w="3024"/>
            <w:vAlign w:val="center"/>
          </w:tcPr>
          <w:p>
            <w:r/>
            <w:r>
              <w:rPr>
                <w:b w:val="0"/>
                <w:sz w:val="17"/>
              </w:rPr>
              <w:t>Hyväksytty työkalu ja käyttäjän oma tarkistus</w:t>
            </w:r>
          </w:p>
        </w:tc>
      </w:tr>
      <w:tr>
        <w:tc>
          <w:tcPr>
            <w:tcW w:type="dxa" w:w="1440"/>
            <w:vAlign w:val="center"/>
            <w:shd w:fill="F4F7F5"/>
          </w:tcPr>
          <w:p>
            <w:r/>
            <w:r>
              <w:rPr>
                <w:b w:val="0"/>
                <w:sz w:val="17"/>
              </w:rPr>
              <w:t>B – kohonnut</w:t>
            </w:r>
          </w:p>
        </w:tc>
        <w:tc>
          <w:tcPr>
            <w:tcW w:type="dxa" w:w="4968"/>
            <w:vAlign w:val="center"/>
            <w:shd w:fill="F4F7F5"/>
          </w:tcPr>
          <w:p>
            <w:r/>
            <w:r>
              <w:rPr>
                <w:b w:val="0"/>
                <w:sz w:val="17"/>
              </w:rPr>
              <w:t>Sisäisen aineiston käsittely, asiakasviestien luonnokset, CRM-tietojen analyysi</w:t>
            </w:r>
          </w:p>
        </w:tc>
        <w:tc>
          <w:tcPr>
            <w:tcW w:type="dxa" w:w="3024"/>
            <w:vAlign w:val="center"/>
            <w:shd w:fill="F4F7F5"/>
          </w:tcPr>
          <w:p>
            <w:r/>
            <w:r>
              <w:rPr>
                <w:b w:val="0"/>
                <w:sz w:val="17"/>
              </w:rPr>
              <w:t>Prosessin omistajan ja tarvittavien asiantuntijoiden hyväksyntä</w:t>
            </w:r>
          </w:p>
        </w:tc>
      </w:tr>
      <w:tr>
        <w:tc>
          <w:tcPr>
            <w:tcW w:type="dxa" w:w="1440"/>
            <w:vAlign w:val="center"/>
          </w:tcPr>
          <w:p>
            <w:r/>
            <w:r>
              <w:rPr>
                <w:b w:val="0"/>
                <w:sz w:val="17"/>
              </w:rPr>
              <w:t>C – erityinen</w:t>
            </w:r>
          </w:p>
        </w:tc>
        <w:tc>
          <w:tcPr>
            <w:tcW w:type="dxa" w:w="4968"/>
            <w:vAlign w:val="center"/>
          </w:tcPr>
          <w:p>
            <w:r/>
            <w:r>
              <w:rPr>
                <w:b w:val="0"/>
                <w:sz w:val="17"/>
              </w:rPr>
              <w:t>Henkilötietoihin vaikuttava automaatio, ulkoisiin järjestelmiin toimiva agentti, rekrytointi, vaikuttavat päätökset</w:t>
            </w:r>
          </w:p>
        </w:tc>
        <w:tc>
          <w:tcPr>
            <w:tcW w:type="dxa" w:w="3024"/>
            <w:vAlign w:val="center"/>
          </w:tcPr>
          <w:p>
            <w:r/>
            <w:r>
              <w:rPr>
                <w:b w:val="0"/>
                <w:sz w:val="17"/>
              </w:rPr>
              <w:t>Ennakkoriskiarvio, juridinen/tietosuoja-/tietoturvakäsittely ja johdon hyväksyntä</w:t>
            </w:r>
          </w:p>
        </w:tc>
      </w:tr>
    </w:tbl>
    <w:p>
      <w:pPr>
        <w:spacing w:after="0"/>
      </w:pPr>
    </w:p>
    <w:p>
      <w:pPr>
        <w:pStyle w:val="Smallnote"/>
      </w:pPr>
      <w:r>
        <w:t>Tämä A–C-luokitus on organisaation oma sisäinen esimerkkimalli eikä EU:n tekoälyasetuksen virallinen riskiluokitus. Lakisääteinen korkean riskin arviointi on tehtävä erikseen.</w:t>
      </w:r>
    </w:p>
    <w:p>
      <w:pPr>
        <w:pStyle w:val="Heading1"/>
      </w:pPr>
      <w:r>
        <w:t>9. Osaamisen kehittäminen ja käyttäjätuki</w:t>
      </w:r>
    </w:p>
    <w:p>
      <w:r>
        <w:t>Organisaatio tukee henkilöstön tekoälyosaamista työtehtäviin sopivalla tavalla. Perehdytykseen kuuluvat hyväksytyt työkalut, tietoturva, tekoälyn rajoitukset, sisältöjen tarkistus ja käytännön esimerkit. Vaativampia käyttötapauksia rakentavat henkilöt tarvitsevat syventävää koulutusta. Perehdytykset ja muut ohjeistustoimet kirjataan [paikka].</w:t>
      </w:r>
    </w:p>
    <w:p>
      <w:r>
        <w:t>Kysymykset ja ehdotukset: [Teams-kanava / intranet / sähköposti]. Hyviä käyttötapoja jaetaan [esim. kuukausittainen 30 minuutin klinikka].</w:t>
      </w:r>
    </w:p>
    <w:p>
      <w:pPr>
        <w:pStyle w:val="Heading1"/>
      </w:pPr>
      <w:r>
        <w:t>10. Poikkeamat ja ohjeen ylläpito</w:t>
      </w:r>
    </w:p>
    <w:p>
      <w:r>
        <w:t>Jos epäilet tietovuotoa, väärää tietojen käsittelyä, haitallista tuotosta tai odottamatonta automatisoitua toimintaa: lopeta kyseinen käyttö, säilytä tarpeelliset tapahtumatiedot ja ilmoita viipymättä [tietoturva / tietosuoja / AI-koordinaattori]. Noudata organisaation omaa tietoturva- ja henkilötietoloukkausprosessia. Älä lähetä arkaluonteisia sisältöjä tavallisen tukipyyntökanavan kautta.</w:t>
      </w:r>
    </w:p>
    <w:p>
      <w:r>
        <w:t>AI-koordinaattori tarkistaa tämän ohjeen [puolivuosittain] sekä aina, kun työkalut, lait, tietojenkäsittely tai käyttötapaukset muuttuvat olennaisesti. Muutokset hyväksyy [toimivaltainen taho].</w:t>
      </w:r>
    </w:p>
    <w:p>
      <w:pPr>
        <w:pStyle w:val="Heading1"/>
      </w:pPr>
      <w:r>
        <w:t>Liite A. Ensimmäisen päätöspalaverin muistilista</w:t>
      </w:r>
    </w:p>
    <w:p>
      <w:r>
        <w:t>[ ] Nimetty johdon omistaja ja arjen AI-koordinaattori</w:t>
      </w:r>
    </w:p>
    <w:p>
      <w:r>
        <w:t>[ ] Valittu 1–3 liiketoiminnan / palvelun kehittämisen tavoitetta</w:t>
      </w:r>
    </w:p>
    <w:p>
      <w:r>
        <w:t>[ ] Luettelo hyväksytyistä työkaluista ja tilimuodoista</w:t>
      </w:r>
    </w:p>
    <w:p>
      <w:r>
        <w:t>[ ] Päätetty tietojen syöttämisen rajat ja salassapitosäännöt</w:t>
      </w:r>
    </w:p>
    <w:p>
      <w:r>
        <w:t>[ ] Sovittu viestinnän ja julkaisujen tarkistus- ja merkintäkäytäntö</w:t>
      </w:r>
    </w:p>
    <w:p>
      <w:r>
        <w:t>[ ] Sovittu, miten uudet agentit ja integraatiot hyväksytään</w:t>
      </w:r>
    </w:p>
    <w:p>
      <w:r>
        <w:t>[ ] Määritelty henkilöstön osaamisen tuki ja käytettävä työaika</w:t>
      </w:r>
    </w:p>
    <w:p>
      <w:r>
        <w:t>[ ] Sovittu seuranta, poikkeamailmoitukset ja seuraava tarkistuspäivä</w:t>
      </w:r>
    </w:p>
    <w:p>
      <w:pPr>
        <w:pStyle w:val="Heading1"/>
      </w:pPr>
      <w:r>
        <w:t>Liite B. Käyttötapauskortti</w:t>
      </w:r>
    </w:p>
    <w:tbl>
      <w:tblPr>
        <w:tblStyle w:val="TableGrid"/>
        <w:tblW w:type="auto" w:w="0"/>
        <w:jc w:val="center"/>
        <w:tblLook w:firstColumn="1" w:firstRow="1" w:lastColumn="0" w:lastRow="0" w:noHBand="0" w:noVBand="1" w:val="04A0"/>
      </w:tblPr>
      <w:tblGrid>
        <w:gridCol w:w="4939"/>
        <w:gridCol w:w="4939"/>
      </w:tblGrid>
      <w:tr>
        <w:trPr>
          <w:tblHeader w:val="true"/>
        </w:trPr>
        <w:tc>
          <w:tcPr>
            <w:tcW w:type="dxa" w:w="2880"/>
            <w:vAlign w:val="center"/>
            <w:shd w:fill="DDEFE5"/>
          </w:tcPr>
          <w:p>
            <w:r/>
            <w:r>
              <w:rPr>
                <w:b/>
                <w:sz w:val="17"/>
              </w:rPr>
              <w:t>Kenttä</w:t>
            </w:r>
          </w:p>
        </w:tc>
        <w:tc>
          <w:tcPr>
            <w:tcW w:type="dxa" w:w="6552"/>
            <w:vAlign w:val="center"/>
            <w:shd w:fill="DDEFE5"/>
          </w:tcPr>
          <w:p>
            <w:r/>
            <w:r>
              <w:rPr>
                <w:b/>
                <w:sz w:val="17"/>
              </w:rPr>
              <w:t>Täytetään ennen kokeilua</w:t>
            </w:r>
          </w:p>
        </w:tc>
      </w:tr>
      <w:tr>
        <w:tc>
          <w:tcPr>
            <w:tcW w:type="dxa" w:w="2880"/>
            <w:vAlign w:val="center"/>
          </w:tcPr>
          <w:p>
            <w:r/>
            <w:r>
              <w:rPr>
                <w:b w:val="0"/>
                <w:sz w:val="17"/>
              </w:rPr>
              <w:t>Käyttötapaus ja tavoite</w:t>
            </w:r>
          </w:p>
        </w:tc>
        <w:tc>
          <w:tcPr>
            <w:tcW w:type="dxa" w:w="6552"/>
            <w:vAlign w:val="center"/>
          </w:tcPr>
          <w:p>
            <w:r/>
            <w:r>
              <w:rPr>
                <w:b w:val="0"/>
                <w:sz w:val="17"/>
              </w:rPr>
              <w:t>[Mitä työtä helpotetaan, mistä hyöty huomataan?]</w:t>
            </w:r>
          </w:p>
        </w:tc>
      </w:tr>
      <w:tr>
        <w:tc>
          <w:tcPr>
            <w:tcW w:type="dxa" w:w="2880"/>
            <w:vAlign w:val="center"/>
            <w:shd w:fill="F4F7F5"/>
          </w:tcPr>
          <w:p>
            <w:r/>
            <w:r>
              <w:rPr>
                <w:b w:val="0"/>
                <w:sz w:val="17"/>
              </w:rPr>
              <w:t>Omistaja ja käyttäjät</w:t>
            </w:r>
          </w:p>
        </w:tc>
        <w:tc>
          <w:tcPr>
            <w:tcW w:type="dxa" w:w="6552"/>
            <w:vAlign w:val="center"/>
            <w:shd w:fill="F4F7F5"/>
          </w:tcPr>
          <w:p>
            <w:r/>
            <w:r>
              <w:rPr>
                <w:b w:val="0"/>
                <w:sz w:val="17"/>
              </w:rPr>
              <w:t>[Henkilö / yksikkö]</w:t>
            </w:r>
          </w:p>
        </w:tc>
      </w:tr>
      <w:tr>
        <w:tc>
          <w:tcPr>
            <w:tcW w:type="dxa" w:w="2880"/>
            <w:vAlign w:val="center"/>
          </w:tcPr>
          <w:p>
            <w:r/>
            <w:r>
              <w:rPr>
                <w:b w:val="0"/>
                <w:sz w:val="17"/>
              </w:rPr>
              <w:t>Työkalu ja toimittaja</w:t>
            </w:r>
          </w:p>
        </w:tc>
        <w:tc>
          <w:tcPr>
            <w:tcW w:type="dxa" w:w="6552"/>
            <w:vAlign w:val="center"/>
          </w:tcPr>
          <w:p>
            <w:r/>
            <w:r>
              <w:rPr>
                <w:b w:val="0"/>
                <w:sz w:val="17"/>
              </w:rPr>
              <w:t>[Palvelu, lisenssi, sijainti, sopimus]</w:t>
            </w:r>
          </w:p>
        </w:tc>
      </w:tr>
      <w:tr>
        <w:tc>
          <w:tcPr>
            <w:tcW w:type="dxa" w:w="2880"/>
            <w:vAlign w:val="center"/>
            <w:shd w:fill="F4F7F5"/>
          </w:tcPr>
          <w:p>
            <w:r/>
            <w:r>
              <w:rPr>
                <w:b w:val="0"/>
                <w:sz w:val="17"/>
              </w:rPr>
              <w:t>Käsiteltävät tiedot</w:t>
            </w:r>
          </w:p>
        </w:tc>
        <w:tc>
          <w:tcPr>
            <w:tcW w:type="dxa" w:w="6552"/>
            <w:vAlign w:val="center"/>
            <w:shd w:fill="F4F7F5"/>
          </w:tcPr>
          <w:p>
            <w:r/>
            <w:r>
              <w:rPr>
                <w:b w:val="0"/>
                <w:sz w:val="17"/>
              </w:rPr>
              <w:t>[Julkinen / sisäinen / henkilötiedot / luottamuksellinen]</w:t>
            </w:r>
          </w:p>
        </w:tc>
      </w:tr>
      <w:tr>
        <w:tc>
          <w:tcPr>
            <w:tcW w:type="dxa" w:w="2880"/>
            <w:vAlign w:val="center"/>
          </w:tcPr>
          <w:p>
            <w:r/>
            <w:r>
              <w:rPr>
                <w:b w:val="0"/>
                <w:sz w:val="17"/>
              </w:rPr>
              <w:t>Pääsyoikeudet ja toiminta</w:t>
            </w:r>
          </w:p>
        </w:tc>
        <w:tc>
          <w:tcPr>
            <w:tcW w:type="dxa" w:w="6552"/>
            <w:vAlign w:val="center"/>
          </w:tcPr>
          <w:p>
            <w:r/>
            <w:r>
              <w:rPr>
                <w:b w:val="0"/>
                <w:sz w:val="17"/>
              </w:rPr>
              <w:t>[Lukeeko, muokkaako, lähettääkö, tekee päätöksiä?]</w:t>
            </w:r>
          </w:p>
        </w:tc>
      </w:tr>
      <w:tr>
        <w:tc>
          <w:tcPr>
            <w:tcW w:type="dxa" w:w="2880"/>
            <w:vAlign w:val="center"/>
            <w:shd w:fill="F4F7F5"/>
          </w:tcPr>
          <w:p>
            <w:r/>
            <w:r>
              <w:rPr>
                <w:b w:val="0"/>
                <w:sz w:val="17"/>
              </w:rPr>
              <w:t>Riskit ja suojaukset</w:t>
            </w:r>
          </w:p>
        </w:tc>
        <w:tc>
          <w:tcPr>
            <w:tcW w:type="dxa" w:w="6552"/>
            <w:vAlign w:val="center"/>
            <w:shd w:fill="F4F7F5"/>
          </w:tcPr>
          <w:p>
            <w:r/>
            <w:r>
              <w:rPr>
                <w:b w:val="0"/>
                <w:sz w:val="17"/>
              </w:rPr>
              <w:t>[Virheet, yksityisyys, tietoturva, oikeudet, syrjintä]</w:t>
            </w:r>
          </w:p>
        </w:tc>
      </w:tr>
      <w:tr>
        <w:tc>
          <w:tcPr>
            <w:tcW w:type="dxa" w:w="2880"/>
            <w:vAlign w:val="center"/>
          </w:tcPr>
          <w:p>
            <w:r/>
            <w:r>
              <w:rPr>
                <w:b w:val="0"/>
                <w:sz w:val="17"/>
              </w:rPr>
              <w:t>Ihmisen tarkistus</w:t>
            </w:r>
          </w:p>
        </w:tc>
        <w:tc>
          <w:tcPr>
            <w:tcW w:type="dxa" w:w="6552"/>
            <w:vAlign w:val="center"/>
          </w:tcPr>
          <w:p>
            <w:r/>
            <w:r>
              <w:rPr>
                <w:b w:val="0"/>
                <w:sz w:val="17"/>
              </w:rPr>
              <w:t>[Kuka hyväksyy, missä vaiheessa?]</w:t>
            </w:r>
          </w:p>
        </w:tc>
      </w:tr>
      <w:tr>
        <w:tc>
          <w:tcPr>
            <w:tcW w:type="dxa" w:w="2880"/>
            <w:vAlign w:val="center"/>
            <w:shd w:fill="F4F7F5"/>
          </w:tcPr>
          <w:p>
            <w:r/>
            <w:r>
              <w:rPr>
                <w:b w:val="0"/>
                <w:sz w:val="17"/>
              </w:rPr>
              <w:t>Päätös ja päiväys</w:t>
            </w:r>
          </w:p>
        </w:tc>
        <w:tc>
          <w:tcPr>
            <w:tcW w:type="dxa" w:w="6552"/>
            <w:vAlign w:val="center"/>
            <w:shd w:fill="F4F7F5"/>
          </w:tcPr>
          <w:p>
            <w:r/>
            <w:r>
              <w:rPr>
                <w:b w:val="0"/>
                <w:sz w:val="17"/>
              </w:rPr>
              <w:t>[Kuka hyväksyi / hylkäsi, milloin?]</w:t>
            </w:r>
          </w:p>
        </w:tc>
      </w:tr>
    </w:tbl>
    <w:p>
      <w:pPr>
        <w:spacing w:after="0"/>
      </w:pPr>
    </w:p>
    <w:p>
      <w:pPr>
        <w:pStyle w:val="Heading1"/>
      </w:pPr>
      <w:r>
        <w:t>Lähteitä jatkotarkistukseen</w:t>
      </w:r>
    </w:p>
    <w:p>
      <w:pPr>
        <w:pStyle w:val="Smallnote"/>
      </w:pPr>
      <w:r>
        <w:t>EU AI Act, 4 artikla (AI literacy): https://ai-act-service-desk.ec.europa.eu/en/ai-act/article-4</w:t>
      </w:r>
    </w:p>
    <w:p>
      <w:pPr>
        <w:pStyle w:val="Smallnote"/>
      </w:pPr>
      <w:r>
        <w:t>Euroopan komission AI literacy -kysymykset ja vastaukset: https://digital-strategy.ec.europa.eu/en/faqs/ai-literacy-questions-answers</w:t>
      </w:r>
    </w:p>
    <w:p>
      <w:pPr>
        <w:pStyle w:val="Smallnote"/>
      </w:pPr>
      <w:r>
        <w:t>EU AI Act, 50 artikla (läpinäkyvyys): https://ai-act-service-desk.ec.europa.eu/en/ai-act/article-50</w:t>
      </w:r>
    </w:p>
    <w:p>
      <w:pPr>
        <w:pStyle w:val="Smallnote"/>
      </w:pPr>
      <w:r>
        <w:t>Kuulun tekoälysisältöjen merkintäopas: https://blog.kuulu.fi/tekoaly-sisallon-merkinta-eu-ai-act</w:t>
      </w:r>
    </w:p>
    <w:p>
      <w:pPr>
        <w:pStyle w:val="Smallnote"/>
      </w:pPr>
      <w:r>
        <w:t>Mallipohja laadittu 26.10.2026. Organisaation vastuulla on täydentää, tarkistaa ja hyväksyä lopullinen ohje.</w:t>
      </w:r>
    </w:p>
    <w:sectPr w:rsidR="00FC693F" w:rsidRPr="0006063C" w:rsidSect="00034616">
      <w:footerReference w:type="default" r:id="rId9"/>
      <w:pgSz w:w="12240" w:h="15840"/>
      <w:pgMar w:top="979"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F6763"/>
        <w:sz w:val="15"/>
      </w:rPr>
      <w:t>KUULU OY  |  TEKOÄLYN KÄYTÖN PELISÄÄNNÖT  |  26.10.2026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62B29"/>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Aptos Display" w:hAnsi="Aptos Display"/>
      <w:b/>
      <w:bCs/>
      <w:color w:val="0F412C"/>
      <w:sz w:val="2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F412C"/>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b/>
      <w:color w:val="0F412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pPr>
    <w:rPr>
      <w:rFonts w:ascii="Aptos" w:hAnsi="Aptos"/>
      <w:color w:val="5C6662"/>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